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45" w:rsidRDefault="00C549DC" w:rsidP="00236316">
      <w:pPr>
        <w:widowControl/>
        <w:autoSpaceDE w:val="0"/>
        <w:autoSpaceDN w:val="0"/>
        <w:jc w:val="center"/>
        <w:textAlignment w:val="bottom"/>
        <w:rPr>
          <w:rFonts w:hAnsi="細明體"/>
          <w:b/>
          <w:color w:val="000000" w:themeColor="text1"/>
          <w:sz w:val="28"/>
        </w:rPr>
      </w:pPr>
      <w:r w:rsidRPr="00C549DC">
        <w:rPr>
          <w:rFonts w:eastAsia="SimSun" w:hAnsi="細明體" w:hint="eastAsia"/>
          <w:b/>
          <w:color w:val="000000" w:themeColor="text1"/>
          <w:sz w:val="28"/>
          <w:lang w:eastAsia="zh-CN"/>
        </w:rPr>
        <w:t>中华大学国际企业学系</w:t>
      </w:r>
      <w:r w:rsidRPr="00C549DC">
        <w:rPr>
          <w:rFonts w:eastAsia="SimSun" w:hAnsi="細明體"/>
          <w:b/>
          <w:color w:val="000000" w:themeColor="text1"/>
          <w:sz w:val="28"/>
          <w:lang w:eastAsia="zh-CN"/>
        </w:rPr>
        <w:t>105</w:t>
      </w:r>
      <w:r w:rsidRPr="00C549DC">
        <w:rPr>
          <w:rFonts w:eastAsia="SimSun" w:hAnsi="細明體" w:hint="eastAsia"/>
          <w:b/>
          <w:color w:val="000000" w:themeColor="text1"/>
          <w:sz w:val="28"/>
          <w:lang w:eastAsia="zh-CN"/>
        </w:rPr>
        <w:t>学年度四年课程规划表</w:t>
      </w:r>
    </w:p>
    <w:p w:rsidR="0085657B" w:rsidRDefault="00C549DC" w:rsidP="00A76978">
      <w:pPr>
        <w:widowControl/>
        <w:wordWrap w:val="0"/>
        <w:autoSpaceDE w:val="0"/>
        <w:autoSpaceDN w:val="0"/>
        <w:spacing w:line="200" w:lineRule="exact"/>
        <w:jc w:val="right"/>
        <w:textAlignment w:val="bottom"/>
        <w:rPr>
          <w:rFonts w:hAnsi="細明體"/>
          <w:color w:val="000000" w:themeColor="text1"/>
          <w:sz w:val="16"/>
          <w:szCs w:val="16"/>
        </w:rPr>
      </w:pP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105.01.19 [104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学年度第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学期国际企业学系第四次课程规划委员会议通过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]</w:t>
      </w:r>
    </w:p>
    <w:p w:rsidR="00954218" w:rsidRDefault="00C549DC" w:rsidP="00954218">
      <w:pPr>
        <w:widowControl/>
        <w:wordWrap w:val="0"/>
        <w:autoSpaceDE w:val="0"/>
        <w:autoSpaceDN w:val="0"/>
        <w:spacing w:line="200" w:lineRule="exact"/>
        <w:jc w:val="right"/>
        <w:textAlignment w:val="bottom"/>
        <w:rPr>
          <w:rFonts w:hAnsi="細明體"/>
          <w:color w:val="000000" w:themeColor="text1"/>
          <w:sz w:val="16"/>
          <w:szCs w:val="16"/>
        </w:rPr>
      </w:pP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105.05.10 [104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学年度第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2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学期国际企业学系第一次课程规划委员会议通过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]</w:t>
      </w:r>
    </w:p>
    <w:p w:rsidR="000353D4" w:rsidRPr="000353D4" w:rsidRDefault="00C549DC" w:rsidP="000353D4">
      <w:pPr>
        <w:widowControl/>
        <w:wordWrap w:val="0"/>
        <w:autoSpaceDE w:val="0"/>
        <w:autoSpaceDN w:val="0"/>
        <w:spacing w:line="200" w:lineRule="exact"/>
        <w:jc w:val="right"/>
        <w:textAlignment w:val="bottom"/>
        <w:rPr>
          <w:rFonts w:hAnsi="細明體"/>
          <w:color w:val="000000" w:themeColor="text1"/>
          <w:sz w:val="16"/>
          <w:szCs w:val="16"/>
        </w:rPr>
      </w:pP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105.05.16 [104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学年度第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2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学期管理学院第一次课程规划委员会议通过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]</w:t>
      </w:r>
    </w:p>
    <w:p w:rsidR="00127AB8" w:rsidRDefault="00C549DC" w:rsidP="00127AB8">
      <w:pPr>
        <w:widowControl/>
        <w:wordWrap w:val="0"/>
        <w:autoSpaceDE w:val="0"/>
        <w:autoSpaceDN w:val="0"/>
        <w:spacing w:line="200" w:lineRule="exact"/>
        <w:jc w:val="right"/>
        <w:textAlignment w:val="bottom"/>
        <w:rPr>
          <w:rFonts w:eastAsia="SimSun" w:hAnsi="細明體"/>
          <w:color w:val="000000" w:themeColor="text1"/>
          <w:sz w:val="16"/>
          <w:szCs w:val="16"/>
          <w:lang w:eastAsia="zh-CN"/>
        </w:rPr>
      </w:pP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105.08.11 [105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学年度第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学期国际企业学系第一次课程规划委员会议通过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]</w:t>
      </w:r>
    </w:p>
    <w:p w:rsidR="00D72059" w:rsidRPr="00D72059" w:rsidRDefault="00D72059" w:rsidP="00D72059">
      <w:pPr>
        <w:widowControl/>
        <w:wordWrap w:val="0"/>
        <w:autoSpaceDE w:val="0"/>
        <w:autoSpaceDN w:val="0"/>
        <w:spacing w:line="200" w:lineRule="exact"/>
        <w:jc w:val="right"/>
        <w:textAlignment w:val="bottom"/>
        <w:rPr>
          <w:rFonts w:hAnsi="細明體"/>
          <w:color w:val="000000" w:themeColor="text1"/>
          <w:sz w:val="16"/>
          <w:szCs w:val="16"/>
        </w:rPr>
      </w:pP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10</w:t>
      </w:r>
      <w:r>
        <w:rPr>
          <w:rFonts w:eastAsia="SimSun" w:hAnsi="細明體"/>
          <w:color w:val="000000" w:themeColor="text1"/>
          <w:sz w:val="16"/>
          <w:szCs w:val="16"/>
          <w:lang w:eastAsia="zh-CN"/>
        </w:rPr>
        <w:t>6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.</w:t>
      </w:r>
      <w:r>
        <w:rPr>
          <w:rFonts w:eastAsia="SimSun" w:hAnsi="細明體"/>
          <w:color w:val="000000" w:themeColor="text1"/>
          <w:sz w:val="16"/>
          <w:szCs w:val="16"/>
          <w:lang w:eastAsia="zh-CN"/>
        </w:rPr>
        <w:t>11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.</w:t>
      </w:r>
      <w:r>
        <w:rPr>
          <w:rFonts w:eastAsia="SimSun" w:hAnsi="細明體"/>
          <w:color w:val="000000" w:themeColor="text1"/>
          <w:sz w:val="16"/>
          <w:szCs w:val="16"/>
          <w:lang w:eastAsia="zh-CN"/>
        </w:rPr>
        <w:t>20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 xml:space="preserve"> [10</w:t>
      </w:r>
      <w:r>
        <w:rPr>
          <w:rFonts w:eastAsia="SimSun" w:hAnsi="細明體"/>
          <w:color w:val="000000" w:themeColor="text1"/>
          <w:sz w:val="16"/>
          <w:szCs w:val="16"/>
          <w:lang w:eastAsia="zh-CN"/>
        </w:rPr>
        <w:t>6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学年度第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学期国际企业学系第</w:t>
      </w:r>
      <w:r>
        <w:rPr>
          <w:rFonts w:eastAsiaTheme="minorEastAsia" w:hAnsi="細明體" w:hint="eastAsia"/>
          <w:color w:val="000000" w:themeColor="text1"/>
          <w:sz w:val="16"/>
          <w:szCs w:val="16"/>
        </w:rPr>
        <w:t>二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次课程规划委员会议通过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]</w:t>
      </w:r>
    </w:p>
    <w:tbl>
      <w:tblPr>
        <w:tblW w:w="16201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2410"/>
        <w:gridCol w:w="1929"/>
        <w:gridCol w:w="1823"/>
        <w:gridCol w:w="75"/>
        <w:gridCol w:w="2137"/>
        <w:gridCol w:w="1994"/>
        <w:gridCol w:w="1822"/>
        <w:gridCol w:w="1846"/>
      </w:tblGrid>
      <w:tr w:rsidR="00572A9D" w:rsidRPr="00572A9D" w:rsidTr="00A55628">
        <w:trPr>
          <w:cantSplit/>
          <w:trHeight w:val="159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一上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大一下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大二上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大二下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大三上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大三下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大四上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大四下</w:t>
            </w:r>
          </w:p>
        </w:tc>
      </w:tr>
      <w:tr w:rsidR="00572A9D" w:rsidRPr="00572A9D" w:rsidTr="00A55628">
        <w:trPr>
          <w:cantSplit/>
          <w:trHeight w:val="1324"/>
        </w:trPr>
        <w:tc>
          <w:tcPr>
            <w:tcW w:w="216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E7EF7" w:rsidRPr="00C549DC" w:rsidRDefault="00C549DC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微积分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149B1" w:rsidRPr="00C549DC" w:rsidRDefault="00C549DC" w:rsidP="009A305F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*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经济学一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9A305F" w:rsidRPr="00C549DC" w:rsidRDefault="00C549DC" w:rsidP="009A305F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*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商管软件应用一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E7EF7" w:rsidRPr="00C549DC" w:rsidRDefault="00C549DC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*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会计学一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236316" w:rsidRPr="00C549DC" w:rsidRDefault="00C549DC" w:rsidP="0085717B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*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管理学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EF7A44" w:rsidRPr="00C549DC" w:rsidRDefault="00C549DC" w:rsidP="00EF7A44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军训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护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)(0)</w:t>
            </w:r>
          </w:p>
          <w:p w:rsidR="00A149B1" w:rsidRPr="00C549DC" w:rsidRDefault="00C549DC" w:rsidP="00EF7A44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体育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)(0)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9B1" w:rsidRPr="00C549DC" w:rsidRDefault="00C549DC" w:rsidP="00A149B1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*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经济学二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E7EF7" w:rsidRPr="00C549DC" w:rsidRDefault="00F047E5" w:rsidP="00A149B1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*</w:t>
            </w:r>
            <w:r w:rsidR="00C549DC"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会计学二</w:t>
            </w:r>
            <w:r w:rsidR="00C549DC"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149B1" w:rsidRPr="00C549DC" w:rsidRDefault="00C549DC" w:rsidP="00A149B1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国际企业管理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E7EF7" w:rsidRPr="00C549DC" w:rsidRDefault="00C549DC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商事法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134840" w:rsidRPr="00C549DC" w:rsidRDefault="00C549DC" w:rsidP="00134840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商务英文会话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236316" w:rsidRPr="00C549DC" w:rsidRDefault="00C549DC" w:rsidP="00EF7A44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军训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护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)(0)</w:t>
            </w:r>
          </w:p>
          <w:p w:rsidR="00EF7A44" w:rsidRPr="00C549DC" w:rsidRDefault="00C549DC" w:rsidP="00EF7A44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体育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)(0)</w:t>
            </w:r>
          </w:p>
        </w:tc>
        <w:tc>
          <w:tcPr>
            <w:tcW w:w="1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B1" w:rsidRPr="00C549DC" w:rsidRDefault="00C549DC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*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统计学一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236316" w:rsidRPr="00C549DC" w:rsidRDefault="00C549DC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国际贸易实务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6210" w:rsidRPr="00C549DC" w:rsidRDefault="00C549DC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金融市场概论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149B1" w:rsidRPr="00C549DC" w:rsidRDefault="00C549DC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营销管理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134840" w:rsidRPr="00C549DC" w:rsidRDefault="00C549DC" w:rsidP="00134840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商务英文阅读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EF7A44" w:rsidRPr="00C549DC" w:rsidRDefault="00C549DC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体育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(0)</w:t>
            </w:r>
          </w:p>
          <w:p w:rsidR="00361D0A" w:rsidRPr="00C549DC" w:rsidRDefault="00361D0A" w:rsidP="00773D25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B1" w:rsidRPr="00572A9D" w:rsidRDefault="00C549DC" w:rsidP="0085717B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*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统计学二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6210" w:rsidRPr="00572A9D" w:rsidRDefault="00C549DC" w:rsidP="0085717B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财务管理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236316" w:rsidRPr="00572A9D" w:rsidRDefault="00C549DC" w:rsidP="0085717B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国际贸易单据实务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361D0A" w:rsidRPr="00572A9D" w:rsidRDefault="00C549DC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商务英文写作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EF7A44" w:rsidRPr="00572A9D" w:rsidRDefault="00C549DC" w:rsidP="00EF7A44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体育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(0)</w:t>
            </w:r>
          </w:p>
          <w:p w:rsidR="00361D0A" w:rsidRPr="00572A9D" w:rsidRDefault="00361D0A" w:rsidP="00773D25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B2" w:rsidRPr="00572A9D" w:rsidRDefault="00C549DC" w:rsidP="00A15182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国际贸易理论与政策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361D0A" w:rsidRPr="00572A9D" w:rsidRDefault="00C549DC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国际金融与汇兑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361D0A" w:rsidRPr="00572A9D" w:rsidRDefault="00C549DC" w:rsidP="00A15182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国际营销管理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236316" w:rsidRPr="00572A9D" w:rsidRDefault="00236316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F7" w:rsidRPr="00572A9D" w:rsidRDefault="00C549DC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电子商务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6349C5" w:rsidRPr="00572A9D" w:rsidRDefault="00C549DC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国际企业专题一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236316" w:rsidRPr="00572A9D" w:rsidRDefault="00236316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C549DC" w:rsidP="007963D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国际企业专题二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316" w:rsidRPr="00572A9D" w:rsidRDefault="00236316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572A9D" w:rsidRPr="00572A9D" w:rsidTr="00A55628">
        <w:trPr>
          <w:cantSplit/>
          <w:trHeight w:val="171"/>
        </w:trPr>
        <w:tc>
          <w:tcPr>
            <w:tcW w:w="2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316" w:rsidRPr="00C549DC" w:rsidRDefault="00C549DC" w:rsidP="00EA3796">
            <w:pPr>
              <w:widowControl/>
              <w:autoSpaceDE w:val="0"/>
              <w:autoSpaceDN w:val="0"/>
              <w:spacing w:line="200" w:lineRule="exact"/>
              <w:ind w:right="114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/>
                <w:color w:val="000000" w:themeColor="text1"/>
                <w:sz w:val="20"/>
                <w:lang w:eastAsia="zh-CN"/>
              </w:rPr>
              <w:t>15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C549DC" w:rsidRDefault="00C549DC" w:rsidP="00EA3796">
            <w:pPr>
              <w:widowControl/>
              <w:autoSpaceDE w:val="0"/>
              <w:autoSpaceDN w:val="0"/>
              <w:spacing w:line="200" w:lineRule="exact"/>
              <w:ind w:right="114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/>
                <w:color w:val="000000" w:themeColor="text1"/>
                <w:sz w:val="20"/>
                <w:lang w:eastAsia="zh-CN"/>
              </w:rPr>
              <w:t>13</w:t>
            </w:r>
          </w:p>
        </w:tc>
        <w:tc>
          <w:tcPr>
            <w:tcW w:w="1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C549DC" w:rsidRDefault="00C549DC" w:rsidP="00EA3796">
            <w:pPr>
              <w:widowControl/>
              <w:autoSpaceDE w:val="0"/>
              <w:autoSpaceDN w:val="0"/>
              <w:spacing w:line="200" w:lineRule="exact"/>
              <w:ind w:right="86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/>
                <w:color w:val="000000" w:themeColor="text1"/>
                <w:sz w:val="20"/>
                <w:lang w:eastAsia="zh-CN"/>
              </w:rPr>
              <w:t>13</w:t>
            </w:r>
          </w:p>
        </w:tc>
        <w:tc>
          <w:tcPr>
            <w:tcW w:w="18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00" w:lineRule="exact"/>
              <w:ind w:right="86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/>
                <w:color w:val="000000" w:themeColor="text1"/>
                <w:sz w:val="20"/>
                <w:lang w:eastAsia="zh-CN"/>
              </w:rPr>
              <w:t>11</w:t>
            </w:r>
          </w:p>
        </w:tc>
        <w:tc>
          <w:tcPr>
            <w:tcW w:w="2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0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/>
                <w:color w:val="000000" w:themeColor="text1"/>
                <w:sz w:val="20"/>
                <w:lang w:eastAsia="zh-CN"/>
              </w:rPr>
              <w:t>7</w:t>
            </w:r>
          </w:p>
        </w:tc>
        <w:tc>
          <w:tcPr>
            <w:tcW w:w="1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0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C549DC" w:rsidP="00EA3796">
            <w:pPr>
              <w:widowControl/>
              <w:autoSpaceDE w:val="0"/>
              <w:autoSpaceDN w:val="0"/>
              <w:spacing w:line="20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316" w:rsidRPr="00572A9D" w:rsidRDefault="00236316" w:rsidP="00EA3796">
            <w:pPr>
              <w:widowControl/>
              <w:autoSpaceDE w:val="0"/>
              <w:autoSpaceDN w:val="0"/>
              <w:spacing w:line="20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</w:p>
        </w:tc>
      </w:tr>
      <w:tr w:rsidR="00572A9D" w:rsidRPr="00572A9D" w:rsidTr="00142794">
        <w:trPr>
          <w:cantSplit/>
          <w:trHeight w:val="386"/>
        </w:trPr>
        <w:tc>
          <w:tcPr>
            <w:tcW w:w="1620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236316" w:rsidRPr="00C549DC" w:rsidRDefault="00C549DC" w:rsidP="00EA3796">
            <w:pPr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以上必修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 xml:space="preserve">        (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共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67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学分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 xml:space="preserve">)  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本系核心课程：微积分、经济学、会计学、统计学、国际企业管理、商管软件应用、国际贸易理论与政策</w:t>
            </w:r>
          </w:p>
          <w:p w:rsidR="00236316" w:rsidRPr="00C549DC" w:rsidRDefault="00C549DC" w:rsidP="00EA3796">
            <w:pPr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 xml:space="preserve">                                           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、国际贸易实务、国际营销管理、国际贸易单据实务、商务英文会话、商务英文阅读、商务英文写作</w:t>
            </w:r>
          </w:p>
        </w:tc>
      </w:tr>
      <w:tr w:rsidR="00572A9D" w:rsidRPr="00572A9D" w:rsidTr="00A55628">
        <w:trPr>
          <w:cantSplit/>
          <w:trHeight w:val="415"/>
        </w:trPr>
        <w:tc>
          <w:tcPr>
            <w:tcW w:w="2165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36316" w:rsidRPr="00C549DC" w:rsidRDefault="00236316" w:rsidP="00EA3796">
            <w:pPr>
              <w:widowControl/>
              <w:autoSpaceDE w:val="0"/>
              <w:autoSpaceDN w:val="0"/>
              <w:spacing w:line="22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A305F" w:rsidRPr="00C549DC" w:rsidRDefault="00C549DC" w:rsidP="00A62C59">
            <w:pPr>
              <w:autoSpaceDE w:val="0"/>
              <w:autoSpaceDN w:val="0"/>
              <w:snapToGrid w:val="0"/>
              <w:spacing w:line="22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商管软件应用二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236316" w:rsidRPr="00C549DC" w:rsidRDefault="00C549DC" w:rsidP="00AC1DC4">
            <w:pPr>
              <w:autoSpaceDE w:val="0"/>
              <w:autoSpaceDN w:val="0"/>
              <w:snapToGrid w:val="0"/>
              <w:spacing w:line="220" w:lineRule="exact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职涯规划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 xml:space="preserve">(1) </w:t>
            </w:r>
          </w:p>
        </w:tc>
        <w:tc>
          <w:tcPr>
            <w:tcW w:w="192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2C59" w:rsidRPr="00C549DC" w:rsidRDefault="00C549DC" w:rsidP="00A62C59">
            <w:pPr>
              <w:widowControl/>
              <w:autoSpaceDE w:val="0"/>
              <w:autoSpaceDN w:val="0"/>
              <w:spacing w:line="220" w:lineRule="exact"/>
              <w:ind w:right="86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英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国际经营发展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316" w:rsidRPr="00C549DC" w:rsidRDefault="00C549DC" w:rsidP="00EA3796">
            <w:pPr>
              <w:widowControl/>
              <w:autoSpaceDE w:val="0"/>
              <w:autoSpaceDN w:val="0"/>
              <w:spacing w:line="22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创意营销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="00D7205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bookmarkStart w:id="0" w:name="_GoBack"/>
            <w:bookmarkEnd w:id="0"/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A62C59" w:rsidRPr="00C549DC" w:rsidRDefault="00C549DC" w:rsidP="00A62C59">
            <w:pPr>
              <w:widowControl/>
              <w:autoSpaceDE w:val="0"/>
              <w:autoSpaceDN w:val="0"/>
              <w:spacing w:line="220" w:lineRule="exact"/>
              <w:ind w:right="86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专题制作概论一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212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316" w:rsidRPr="00C549DC" w:rsidRDefault="00C549DC" w:rsidP="00EA3796">
            <w:pPr>
              <w:widowControl/>
              <w:autoSpaceDE w:val="0"/>
              <w:autoSpaceDN w:val="0"/>
              <w:spacing w:line="220" w:lineRule="exact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ascii="新細明體" w:eastAsia="SimSun" w:hAnsi="新細明體"/>
                <w:color w:val="000000" w:themeColor="text1"/>
                <w:sz w:val="18"/>
                <w:szCs w:val="18"/>
                <w:lang w:eastAsia="zh-CN"/>
              </w:rPr>
              <w:t>Excel</w:t>
            </w:r>
            <w:r w:rsidRPr="00C549DC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与市场调查分析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174F39" w:rsidRPr="00C549DC" w:rsidRDefault="00C549DC" w:rsidP="00174F39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商务英文简报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A62C59" w:rsidRPr="00C549DC" w:rsidRDefault="00C549DC" w:rsidP="00A62C59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专题制作概论二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199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316" w:rsidRPr="00572A9D" w:rsidRDefault="00C549DC" w:rsidP="00174F39">
            <w:pPr>
              <w:autoSpaceDE w:val="0"/>
              <w:autoSpaceDN w:val="0"/>
              <w:snapToGrid w:val="0"/>
              <w:spacing w:line="220" w:lineRule="exact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经营管理个案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74F39" w:rsidRPr="00572A9D" w:rsidRDefault="00C549DC" w:rsidP="00174F39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国际财经法律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236316" w:rsidRPr="00572A9D" w:rsidRDefault="00C549DC" w:rsidP="00EA3796">
            <w:pPr>
              <w:widowControl/>
              <w:autoSpaceDE w:val="0"/>
              <w:autoSpaceDN w:val="0"/>
              <w:spacing w:line="22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职场伦理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36316" w:rsidRPr="00572A9D" w:rsidRDefault="00236316" w:rsidP="00EA3796">
            <w:pPr>
              <w:widowControl/>
              <w:autoSpaceDE w:val="0"/>
              <w:autoSpaceDN w:val="0"/>
              <w:spacing w:line="22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572A9D" w:rsidRPr="00572A9D" w:rsidTr="00142794">
        <w:trPr>
          <w:cantSplit/>
          <w:trHeight w:val="247"/>
        </w:trPr>
        <w:tc>
          <w:tcPr>
            <w:tcW w:w="16201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:rsidR="00236316" w:rsidRPr="00572A9D" w:rsidRDefault="00C549DC" w:rsidP="00244905">
            <w:pPr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以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 xml:space="preserve">     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上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 xml:space="preserve">     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必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 xml:space="preserve">     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选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 xml:space="preserve">        (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共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19</w:t>
            </w: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学分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)</w:t>
            </w:r>
          </w:p>
        </w:tc>
      </w:tr>
      <w:tr w:rsidR="00572A9D" w:rsidRPr="00572A9D" w:rsidTr="00DC4D1F">
        <w:trPr>
          <w:cantSplit/>
          <w:trHeight w:val="226"/>
        </w:trPr>
        <w:tc>
          <w:tcPr>
            <w:tcW w:w="216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C549DC" w:rsidP="0000337E">
            <w:pPr>
              <w:widowControl/>
              <w:autoSpaceDE w:val="0"/>
              <w:autoSpaceDN w:val="0"/>
              <w:spacing w:line="0" w:lineRule="atLeas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6"/>
                <w:szCs w:val="16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6"/>
                <w:szCs w:val="16"/>
                <w:lang w:eastAsia="zh-CN"/>
              </w:rPr>
              <w:t>英文一</w:t>
            </w:r>
            <w:r w:rsidRPr="00C549DC">
              <w:rPr>
                <w:rFonts w:eastAsia="SimSun" w:hAnsi="細明體"/>
                <w:color w:val="000000" w:themeColor="text1"/>
                <w:sz w:val="16"/>
                <w:szCs w:val="16"/>
                <w:lang w:eastAsia="zh-CN"/>
              </w:rPr>
              <w:t>(2)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C549DC" w:rsidP="0000337E">
            <w:pPr>
              <w:widowControl/>
              <w:autoSpaceDE w:val="0"/>
              <w:autoSpaceDN w:val="0"/>
              <w:spacing w:line="0" w:lineRule="atLeas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6"/>
                <w:szCs w:val="16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6"/>
                <w:szCs w:val="16"/>
                <w:lang w:eastAsia="zh-CN"/>
              </w:rPr>
              <w:t>英文二</w:t>
            </w:r>
            <w:r w:rsidRPr="00C549DC">
              <w:rPr>
                <w:rFonts w:eastAsia="SimSun" w:hAnsi="細明體"/>
                <w:color w:val="000000" w:themeColor="text1"/>
                <w:sz w:val="16"/>
                <w:szCs w:val="16"/>
                <w:lang w:eastAsia="zh-CN"/>
              </w:rPr>
              <w:t>(2)</w:t>
            </w:r>
          </w:p>
        </w:tc>
        <w:tc>
          <w:tcPr>
            <w:tcW w:w="192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C549DC" w:rsidP="0000337E">
            <w:pPr>
              <w:widowControl/>
              <w:autoSpaceDE w:val="0"/>
              <w:autoSpaceDN w:val="0"/>
              <w:spacing w:line="0" w:lineRule="atLeas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6"/>
                <w:szCs w:val="16"/>
                <w:lang w:eastAsia="zh-CN"/>
              </w:rPr>
              <w:t>英文三</w:t>
            </w:r>
            <w:r w:rsidRPr="00C549DC">
              <w:rPr>
                <w:rFonts w:eastAsia="SimSun" w:hAnsi="細明體"/>
                <w:color w:val="000000" w:themeColor="text1"/>
                <w:sz w:val="16"/>
                <w:szCs w:val="16"/>
                <w:lang w:eastAsia="zh-CN"/>
              </w:rPr>
              <w:t>(1)</w:t>
            </w:r>
          </w:p>
        </w:tc>
        <w:tc>
          <w:tcPr>
            <w:tcW w:w="1898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C549DC" w:rsidP="0000337E">
            <w:pPr>
              <w:widowControl/>
              <w:autoSpaceDE w:val="0"/>
              <w:autoSpaceDN w:val="0"/>
              <w:spacing w:line="0" w:lineRule="atLeas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6"/>
                <w:szCs w:val="16"/>
                <w:lang w:eastAsia="zh-CN"/>
              </w:rPr>
              <w:t>英文四</w:t>
            </w:r>
            <w:r w:rsidRPr="00C549DC">
              <w:rPr>
                <w:rFonts w:eastAsia="SimSun" w:hAnsi="細明體"/>
                <w:color w:val="000000" w:themeColor="text1"/>
                <w:sz w:val="16"/>
                <w:szCs w:val="16"/>
                <w:lang w:eastAsia="zh-CN"/>
              </w:rPr>
              <w:t>(1)</w:t>
            </w:r>
          </w:p>
        </w:tc>
        <w:tc>
          <w:tcPr>
            <w:tcW w:w="213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AF618D" w:rsidP="0000337E">
            <w:pPr>
              <w:widowControl/>
              <w:autoSpaceDE w:val="0"/>
              <w:autoSpaceDN w:val="0"/>
              <w:spacing w:line="0" w:lineRule="atLeas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618D" w:rsidRPr="00572A9D" w:rsidRDefault="00AF618D" w:rsidP="00D250D1">
            <w:pPr>
              <w:widowControl/>
              <w:autoSpaceDE w:val="0"/>
              <w:autoSpaceDN w:val="0"/>
              <w:spacing w:line="0" w:lineRule="atLeas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618D" w:rsidRPr="00572A9D" w:rsidRDefault="00AF618D" w:rsidP="00D250D1">
            <w:pPr>
              <w:widowControl/>
              <w:autoSpaceDE w:val="0"/>
              <w:autoSpaceDN w:val="0"/>
              <w:spacing w:line="0" w:lineRule="atLeas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618D" w:rsidRPr="00572A9D" w:rsidRDefault="00AF618D" w:rsidP="00D250D1">
            <w:pPr>
              <w:widowControl/>
              <w:autoSpaceDE w:val="0"/>
              <w:autoSpaceDN w:val="0"/>
              <w:spacing w:line="0" w:lineRule="atLeas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572A9D" w:rsidRPr="00572A9D" w:rsidTr="00142794">
        <w:trPr>
          <w:cantSplit/>
          <w:trHeight w:val="191"/>
        </w:trPr>
        <w:tc>
          <w:tcPr>
            <w:tcW w:w="16201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36316" w:rsidRPr="00572A9D" w:rsidRDefault="00C549DC" w:rsidP="000341BC">
            <w:pPr>
              <w:spacing w:line="200" w:lineRule="exact"/>
              <w:rPr>
                <w:color w:val="000000" w:themeColor="text1"/>
                <w:sz w:val="22"/>
                <w:szCs w:val="22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以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上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通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识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课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程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(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毕业通识学分含英文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6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学分、六向度核心必修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12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学分、多元选修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10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学分，共计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28</w:t>
            </w:r>
            <w:r w:rsidRPr="00C549DC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学分。</w:t>
            </w:r>
            <w:r w:rsidRPr="00C549DC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)</w:t>
            </w:r>
          </w:p>
        </w:tc>
      </w:tr>
    </w:tbl>
    <w:tbl>
      <w:tblPr>
        <w:tblStyle w:val="a7"/>
        <w:tblpPr w:leftFromText="180" w:rightFromText="180" w:vertAnchor="text" w:horzAnchor="margin" w:tblpX="-62" w:tblpY="28"/>
        <w:tblW w:w="1619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1486"/>
        <w:gridCol w:w="1349"/>
        <w:gridCol w:w="1911"/>
        <w:gridCol w:w="1843"/>
        <w:gridCol w:w="2126"/>
        <w:gridCol w:w="1985"/>
        <w:gridCol w:w="1842"/>
        <w:gridCol w:w="1843"/>
      </w:tblGrid>
      <w:tr w:rsidR="00572A9D" w:rsidRPr="00572A9D" w:rsidTr="00A55628">
        <w:trPr>
          <w:trHeight w:val="242"/>
        </w:trPr>
        <w:tc>
          <w:tcPr>
            <w:tcW w:w="392" w:type="dxa"/>
            <w:vMerge w:val="restart"/>
            <w:vAlign w:val="center"/>
          </w:tcPr>
          <w:p w:rsidR="00F17477" w:rsidRPr="00572A9D" w:rsidRDefault="00C549DC" w:rsidP="00E624C0">
            <w:pPr>
              <w:jc w:val="center"/>
              <w:rPr>
                <w:color w:val="000000" w:themeColor="text1"/>
                <w:sz w:val="20"/>
              </w:rPr>
            </w:pPr>
            <w:r w:rsidRPr="00C549DC">
              <w:rPr>
                <w:rFonts w:eastAsia="SimSun" w:hint="eastAsia"/>
                <w:color w:val="000000" w:themeColor="text1"/>
                <w:sz w:val="20"/>
                <w:lang w:eastAsia="zh-CN"/>
              </w:rPr>
              <w:t>选修科目</w:t>
            </w:r>
          </w:p>
        </w:tc>
        <w:tc>
          <w:tcPr>
            <w:tcW w:w="1417" w:type="dxa"/>
            <w:gridSpan w:val="2"/>
          </w:tcPr>
          <w:p w:rsidR="00F17477" w:rsidRPr="00572A9D" w:rsidRDefault="00F17477" w:rsidP="00E624C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17477" w:rsidRPr="00572A9D" w:rsidRDefault="00C549DC" w:rsidP="00E624C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大一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  <w:vAlign w:val="center"/>
          </w:tcPr>
          <w:p w:rsidR="00F17477" w:rsidRPr="00572A9D" w:rsidRDefault="00C549DC" w:rsidP="00E624C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大二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F17477" w:rsidRPr="00572A9D" w:rsidRDefault="00C549DC" w:rsidP="00E624C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大三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17477" w:rsidRPr="00572A9D" w:rsidRDefault="00C549DC" w:rsidP="00E624C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大四</w:t>
            </w:r>
          </w:p>
        </w:tc>
      </w:tr>
      <w:tr w:rsidR="00572A9D" w:rsidRPr="00572A9D" w:rsidTr="00A55628">
        <w:trPr>
          <w:trHeight w:val="1171"/>
        </w:trPr>
        <w:tc>
          <w:tcPr>
            <w:tcW w:w="392" w:type="dxa"/>
            <w:vMerge/>
          </w:tcPr>
          <w:p w:rsidR="00DF2C84" w:rsidRPr="00572A9D" w:rsidRDefault="00DF2C84" w:rsidP="00E624C0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2C84" w:rsidRPr="00572A9D" w:rsidRDefault="00C549DC" w:rsidP="00E624C0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 w:rsidRPr="00C549DC">
              <w:rPr>
                <w:rFonts w:eastAsia="SimSun" w:hint="eastAsia"/>
                <w:color w:val="000000" w:themeColor="text1"/>
                <w:sz w:val="20"/>
                <w:lang w:eastAsia="zh-CN"/>
              </w:rPr>
              <w:t>系选修学群</w:t>
            </w:r>
          </w:p>
        </w:tc>
        <w:tc>
          <w:tcPr>
            <w:tcW w:w="992" w:type="dxa"/>
            <w:vAlign w:val="center"/>
          </w:tcPr>
          <w:p w:rsidR="00DF2C84" w:rsidRPr="00572A9D" w:rsidRDefault="00C549DC" w:rsidP="00E624C0">
            <w:pPr>
              <w:spacing w:line="200" w:lineRule="exact"/>
              <w:rPr>
                <w:color w:val="000000" w:themeColor="text1"/>
                <w:sz w:val="20"/>
              </w:rPr>
            </w:pPr>
            <w:r w:rsidRPr="00C549DC">
              <w:rPr>
                <w:rFonts w:eastAsia="SimSun" w:hint="eastAsia"/>
                <w:color w:val="000000" w:themeColor="text1"/>
                <w:sz w:val="20"/>
                <w:lang w:eastAsia="zh-CN"/>
              </w:rPr>
              <w:t>国际企业经营</w:t>
            </w:r>
          </w:p>
        </w:tc>
        <w:tc>
          <w:tcPr>
            <w:tcW w:w="1486" w:type="dxa"/>
            <w:tcBorders>
              <w:bottom w:val="single" w:sz="4" w:space="0" w:color="auto"/>
              <w:right w:val="nil"/>
            </w:tcBorders>
          </w:tcPr>
          <w:p w:rsidR="00DF2C84" w:rsidRPr="00572A9D" w:rsidRDefault="00C549DC" w:rsidP="003A3641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软能力开发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</w:tcBorders>
          </w:tcPr>
          <w:p w:rsidR="00DF2C84" w:rsidRPr="00572A9D" w:rsidRDefault="00C549DC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消费者行为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911" w:type="dxa"/>
            <w:tcBorders>
              <w:bottom w:val="single" w:sz="4" w:space="0" w:color="auto"/>
              <w:right w:val="nil"/>
            </w:tcBorders>
          </w:tcPr>
          <w:p w:rsidR="00ED0CD2" w:rsidRPr="00572A9D" w:rsidRDefault="00C549DC" w:rsidP="00A53566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个体经济学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3105A3" w:rsidRPr="00572A9D" w:rsidRDefault="00C549DC" w:rsidP="00ED0CD2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策略管理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0A7E73" w:rsidRPr="00572A9D" w:rsidRDefault="00C549DC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总体经济学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F6919" w:rsidRPr="00572A9D" w:rsidRDefault="00C549DC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企业社会责任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CD2D83" w:rsidRPr="00572A9D" w:rsidRDefault="00C549DC" w:rsidP="00CD2D83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财经新闻导读与分析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0A7E73" w:rsidRPr="00572A9D" w:rsidRDefault="00C549DC" w:rsidP="00CD2D83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广告创意与策略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D62EE" w:rsidRPr="00572A9D" w:rsidRDefault="00C549DC" w:rsidP="00A53566">
            <w:pPr>
              <w:adjustRightInd/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549DC">
              <w:rPr>
                <w:rFonts w:asciiTheme="majorEastAsia" w:eastAsia="SimSun" w:hAnsiTheme="majorEastAsia" w:hint="eastAsia"/>
                <w:color w:val="000000" w:themeColor="text1"/>
                <w:sz w:val="18"/>
                <w:szCs w:val="18"/>
                <w:lang w:eastAsia="zh-CN"/>
              </w:rPr>
              <w:t>国际企业经营策略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5F4588" w:rsidRPr="00572A9D" w:rsidRDefault="00C549DC" w:rsidP="005F4588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顾客关系管理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64092" w:rsidRPr="00572A9D" w:rsidRDefault="00C549DC" w:rsidP="00A64092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品牌管理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64092" w:rsidRPr="00572A9D" w:rsidRDefault="00C549DC" w:rsidP="00A64092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产业分析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国际人力资源管理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DF2C84" w:rsidP="00A53566">
            <w:pPr>
              <w:adjustRightInd/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3105A3" w:rsidRPr="00572A9D" w:rsidRDefault="00C549DC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商务企划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A05F1" w:rsidRPr="00572A9D" w:rsidRDefault="00C549DC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服务营销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秘书实务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F6919" w:rsidRPr="00572A9D" w:rsidRDefault="00C549DC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职场实习一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财经讲座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B01C18" w:rsidRPr="00572A9D" w:rsidRDefault="00B01C18" w:rsidP="00A53566">
            <w:pPr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B01C18" w:rsidRPr="00572A9D" w:rsidRDefault="00C549DC" w:rsidP="00B01C18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职场实习二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C25929" w:rsidRPr="00572A9D" w:rsidRDefault="00C549DC" w:rsidP="00C25929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25929" w:rsidRPr="00572A9D" w:rsidRDefault="00C549DC" w:rsidP="00C2592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25929" w:rsidRPr="00572A9D" w:rsidRDefault="00C549DC" w:rsidP="00C2592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产学实习三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D62EE" w:rsidRPr="00572A9D" w:rsidRDefault="00FD62EE" w:rsidP="00A53566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AA05F1" w:rsidRPr="00572A9D" w:rsidRDefault="00C549DC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财务报表分析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C549DC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C549DC" w:rsidP="00A53566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D62EE" w:rsidRPr="00572A9D" w:rsidRDefault="00C549DC" w:rsidP="00A53566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产业实习三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C549DC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两岸经贸市场研究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C549DC" w:rsidP="00F1402E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公司预算编制与财务规划专题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</w:tr>
      <w:tr w:rsidR="00572A9D" w:rsidRPr="00572A9D" w:rsidTr="00A55628">
        <w:trPr>
          <w:trHeight w:val="268"/>
        </w:trPr>
        <w:tc>
          <w:tcPr>
            <w:tcW w:w="392" w:type="dxa"/>
            <w:vMerge/>
          </w:tcPr>
          <w:p w:rsidR="00DF2C84" w:rsidRPr="00572A9D" w:rsidRDefault="00DF2C84" w:rsidP="00E624C0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DF2C84" w:rsidRPr="00572A9D" w:rsidRDefault="00DF2C84" w:rsidP="00E624C0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F2C84" w:rsidRPr="00572A9D" w:rsidRDefault="00C549DC" w:rsidP="00E624C0">
            <w:pPr>
              <w:spacing w:line="200" w:lineRule="exact"/>
              <w:rPr>
                <w:color w:val="000000" w:themeColor="text1"/>
                <w:sz w:val="20"/>
              </w:rPr>
            </w:pPr>
            <w:r w:rsidRPr="00C549DC">
              <w:rPr>
                <w:rFonts w:eastAsia="SimSun" w:hint="eastAsia"/>
                <w:color w:val="000000" w:themeColor="text1"/>
                <w:sz w:val="20"/>
                <w:lang w:eastAsia="zh-CN"/>
              </w:rPr>
              <w:t>国际经贸</w:t>
            </w:r>
          </w:p>
        </w:tc>
        <w:tc>
          <w:tcPr>
            <w:tcW w:w="1486" w:type="dxa"/>
            <w:tcBorders>
              <w:bottom w:val="single" w:sz="4" w:space="0" w:color="auto"/>
              <w:right w:val="nil"/>
            </w:tcBorders>
          </w:tcPr>
          <w:p w:rsidR="00DF2C84" w:rsidRPr="00572A9D" w:rsidRDefault="00C549DC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软能力开发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</w:tcBorders>
          </w:tcPr>
          <w:p w:rsidR="00DF2C84" w:rsidRPr="00572A9D" w:rsidRDefault="00C549DC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国际文化与礼仪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tcBorders>
              <w:bottom w:val="single" w:sz="4" w:space="0" w:color="auto"/>
              <w:right w:val="nil"/>
            </w:tcBorders>
          </w:tcPr>
          <w:p w:rsidR="00DF2C84" w:rsidRPr="00572A9D" w:rsidRDefault="00C549DC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个体经济学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ED0CD2" w:rsidRPr="00572A9D" w:rsidRDefault="00C549DC" w:rsidP="00A53566">
            <w:pPr>
              <w:autoSpaceDE w:val="0"/>
              <w:autoSpaceDN w:val="0"/>
              <w:adjustRightInd/>
              <w:spacing w:line="240" w:lineRule="exac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总体经济学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91E15" w:rsidRPr="00572A9D" w:rsidRDefault="00C549DC" w:rsidP="00C91E15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企业社会责任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C549DC" w:rsidP="00A53566">
            <w:pPr>
              <w:autoSpaceDE w:val="0"/>
              <w:autoSpaceDN w:val="0"/>
              <w:adjustRightInd/>
              <w:spacing w:line="240" w:lineRule="exac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物流管理概论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DF2C84" w:rsidRPr="00572A9D" w:rsidRDefault="00C549DC" w:rsidP="00A53566">
            <w:pPr>
              <w:autoSpaceDE w:val="0"/>
              <w:autoSpaceDN w:val="0"/>
              <w:adjustRightInd/>
              <w:spacing w:line="240" w:lineRule="exac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财经新闻导读与分析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C91E15" w:rsidRPr="00572A9D" w:rsidRDefault="00C549DC" w:rsidP="00C91E15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关税与通关实务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91E15" w:rsidRPr="00572A9D" w:rsidRDefault="00C91E15" w:rsidP="00A53566">
            <w:pPr>
              <w:autoSpaceDE w:val="0"/>
              <w:autoSpaceDN w:val="0"/>
              <w:adjustRightInd/>
              <w:spacing w:line="240" w:lineRule="exac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D50A9" w:rsidRPr="00572A9D" w:rsidRDefault="00C549DC" w:rsidP="00FD50A9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理财规划专题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5F4588" w:rsidRPr="00572A9D" w:rsidRDefault="00C549DC" w:rsidP="005F458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国际财务管理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金融机构管理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记账士证照专题一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金融讲堂一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DF2C84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DF2C84" w:rsidRPr="00572A9D" w:rsidRDefault="00C549DC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商务企划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51050F" w:rsidRPr="00572A9D" w:rsidRDefault="00C549DC" w:rsidP="00A53566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投资学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  <w:r w:rsidR="0051050F" w:rsidRPr="00572A9D">
              <w:rPr>
                <w:rFonts w:hAnsi="細明體"/>
                <w:color w:val="000000" w:themeColor="text1"/>
                <w:sz w:val="18"/>
                <w:szCs w:val="18"/>
              </w:rPr>
              <w:t xml:space="preserve"> </w:t>
            </w:r>
          </w:p>
          <w:p w:rsidR="005F4588" w:rsidRPr="00572A9D" w:rsidRDefault="00C549DC" w:rsidP="005F4588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外汇市场交易信息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保险与风险管理讲座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记账士证照专题二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职场实习一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B01C18" w:rsidRPr="00572A9D" w:rsidRDefault="00C549DC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金融讲堂二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5F4588" w:rsidRPr="00572A9D" w:rsidRDefault="00C549DC" w:rsidP="00F1402E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财经讲座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5F4588" w:rsidRDefault="00C549DC" w:rsidP="005F4588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商务沟通与谈判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440466" w:rsidRPr="00572A9D" w:rsidRDefault="00C549DC" w:rsidP="004404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职场实习二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C25929" w:rsidRPr="00572A9D" w:rsidRDefault="00C549DC" w:rsidP="00C25929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25929" w:rsidRPr="00572A9D" w:rsidRDefault="00C549DC" w:rsidP="00C2592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25929" w:rsidRPr="00572A9D" w:rsidRDefault="00C549DC" w:rsidP="00C2592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产学实习三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DF2C84" w:rsidRPr="00C25929" w:rsidRDefault="00DF2C84" w:rsidP="00A53566">
            <w:pPr>
              <w:autoSpaceDE w:val="0"/>
              <w:autoSpaceDN w:val="0"/>
              <w:adjustRightInd/>
              <w:spacing w:line="180" w:lineRule="exac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1402E" w:rsidRPr="00572A9D" w:rsidRDefault="00C549DC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产业实习一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C549DC" w:rsidP="00F1402E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产业实习二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C549DC" w:rsidP="00F1402E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产业实习三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C549DC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两岸经贸市场研究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D62EE" w:rsidRPr="00572A9D" w:rsidRDefault="00C549DC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公司预算编制与财务规划专题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</w:tr>
      <w:tr w:rsidR="00572A9D" w:rsidRPr="00572A9D" w:rsidTr="00A55628">
        <w:trPr>
          <w:trHeight w:val="550"/>
        </w:trPr>
        <w:tc>
          <w:tcPr>
            <w:tcW w:w="392" w:type="dxa"/>
            <w:vMerge/>
          </w:tcPr>
          <w:p w:rsidR="00FD62EE" w:rsidRPr="00572A9D" w:rsidRDefault="00FD62EE" w:rsidP="00E624C0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D62EE" w:rsidRPr="00572A9D" w:rsidRDefault="00FD62EE" w:rsidP="00E624C0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D62EE" w:rsidRPr="00572A9D" w:rsidRDefault="00C549DC" w:rsidP="00E624C0">
            <w:pPr>
              <w:spacing w:line="200" w:lineRule="exact"/>
              <w:rPr>
                <w:color w:val="000000" w:themeColor="text1"/>
                <w:sz w:val="20"/>
              </w:rPr>
            </w:pPr>
            <w:r w:rsidRPr="00C549DC">
              <w:rPr>
                <w:rFonts w:eastAsia="SimSun" w:hint="eastAsia"/>
                <w:color w:val="000000" w:themeColor="text1"/>
                <w:sz w:val="20"/>
                <w:lang w:eastAsia="zh-CN"/>
              </w:rPr>
              <w:t>语文与信息</w:t>
            </w:r>
          </w:p>
        </w:tc>
        <w:tc>
          <w:tcPr>
            <w:tcW w:w="1486" w:type="dxa"/>
            <w:tcBorders>
              <w:right w:val="nil"/>
            </w:tcBorders>
          </w:tcPr>
          <w:p w:rsidR="00FD62EE" w:rsidRPr="00572A9D" w:rsidRDefault="00FD62EE" w:rsidP="00A53566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 w:rsidR="00FD62EE" w:rsidRPr="00572A9D" w:rsidRDefault="00FD62EE" w:rsidP="00A53566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nil"/>
            </w:tcBorders>
          </w:tcPr>
          <w:p w:rsidR="00ED0CD2" w:rsidRPr="00572A9D" w:rsidRDefault="00C549DC" w:rsidP="00A53566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日文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3105A3" w:rsidRPr="00572A9D" w:rsidRDefault="00C549DC" w:rsidP="00A53566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因特网与云端应用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705A8A" w:rsidRPr="00572A9D" w:rsidRDefault="00705A8A" w:rsidP="00A53566">
            <w:pPr>
              <w:widowControl/>
              <w:autoSpaceDE w:val="0"/>
              <w:autoSpaceDN w:val="0"/>
              <w:adjustRightInd/>
              <w:spacing w:line="200" w:lineRule="exac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D0CD2" w:rsidRPr="00572A9D" w:rsidRDefault="00C549DC" w:rsidP="00ED0CD2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日文会话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FD62EE" w:rsidRPr="00572A9D" w:rsidRDefault="00FD62EE" w:rsidP="00A53566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35A98" w:rsidRPr="00572A9D" w:rsidRDefault="00C549DC" w:rsidP="0093283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int="eastAsia"/>
                <w:color w:val="000000" w:themeColor="text1"/>
                <w:sz w:val="18"/>
                <w:szCs w:val="18"/>
                <w:lang w:eastAsia="zh-CN"/>
              </w:rPr>
              <w:t>日本企业管理</w:t>
            </w:r>
            <w:r w:rsidRPr="00C549DC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932831" w:rsidRPr="00572A9D" w:rsidRDefault="00C549DC" w:rsidP="0093283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int="eastAsia"/>
                <w:color w:val="000000" w:themeColor="text1"/>
                <w:sz w:val="18"/>
                <w:szCs w:val="18"/>
                <w:lang w:eastAsia="zh-CN"/>
              </w:rPr>
              <w:t>手机</w:t>
            </w:r>
            <w:r w:rsidRPr="00C549DC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APP</w:t>
            </w:r>
            <w:r w:rsidRPr="00C549DC">
              <w:rPr>
                <w:rFonts w:eastAsia="SimSun" w:hint="eastAsia"/>
                <w:color w:val="000000" w:themeColor="text1"/>
                <w:sz w:val="18"/>
                <w:szCs w:val="18"/>
                <w:lang w:eastAsia="zh-CN"/>
              </w:rPr>
              <w:t>之开发与应用</w:t>
            </w:r>
            <w:r w:rsidRPr="00C549DC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D62EE" w:rsidRPr="00572A9D" w:rsidRDefault="00FD62EE" w:rsidP="00A53566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D62EE" w:rsidRPr="00572A9D" w:rsidRDefault="00FD62EE" w:rsidP="00A53566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D62EE" w:rsidRPr="00572A9D" w:rsidRDefault="00C549DC" w:rsidP="00F1402E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贸易信息系统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C549DC" w:rsidP="00F1402E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C549DC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企业资源规划</w:t>
            </w:r>
            <w:r w:rsidRPr="00C549DC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843" w:type="dxa"/>
            <w:tcBorders>
              <w:left w:val="nil"/>
            </w:tcBorders>
          </w:tcPr>
          <w:p w:rsidR="00FD62EE" w:rsidRPr="00572A9D" w:rsidRDefault="00FD62EE" w:rsidP="00A53566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36316" w:rsidRPr="00572A9D" w:rsidRDefault="00C549DC" w:rsidP="00464BD8">
      <w:pPr>
        <w:widowControl/>
        <w:tabs>
          <w:tab w:val="left" w:pos="10620"/>
        </w:tabs>
        <w:autoSpaceDE w:val="0"/>
        <w:autoSpaceDN w:val="0"/>
        <w:spacing w:line="180" w:lineRule="exact"/>
        <w:textAlignment w:val="bottom"/>
        <w:rPr>
          <w:rFonts w:hAnsi="細明體"/>
          <w:color w:val="000000" w:themeColor="text1"/>
          <w:sz w:val="16"/>
          <w:szCs w:val="16"/>
        </w:rPr>
      </w:pP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※毕业应修总学分数＝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128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学分（必修＋必选＋选修＋通识）。</w:t>
      </w:r>
      <w:r w:rsidRPr="00572A9D">
        <w:rPr>
          <w:rFonts w:hAnsi="細明體"/>
          <w:color w:val="000000" w:themeColor="text1"/>
          <w:sz w:val="16"/>
          <w:szCs w:val="16"/>
          <w:lang w:eastAsia="zh-CN"/>
        </w:rPr>
        <w:tab/>
      </w:r>
    </w:p>
    <w:p w:rsidR="00236316" w:rsidRDefault="00C549DC" w:rsidP="00464BD8">
      <w:pPr>
        <w:widowControl/>
        <w:autoSpaceDE w:val="0"/>
        <w:autoSpaceDN w:val="0"/>
        <w:spacing w:line="180" w:lineRule="exact"/>
        <w:textAlignment w:val="bottom"/>
        <w:rPr>
          <w:rFonts w:hAnsi="細明體"/>
          <w:color w:val="000000" w:themeColor="text1"/>
          <w:sz w:val="16"/>
          <w:szCs w:val="16"/>
          <w:lang w:eastAsia="zh-CN"/>
        </w:rPr>
      </w:pP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※系必修＝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67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学分；共同必修（含通识）＝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28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学分；选修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(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含必选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)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＝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33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学分（须</w:t>
      </w:r>
      <w:r w:rsidRPr="00C549DC">
        <w:rPr>
          <w:rFonts w:ascii="Trebuchet MS" w:eastAsia="SimSun" w:hAnsi="Trebuchet MS" w:cs="新細明體" w:hint="eastAsia"/>
          <w:color w:val="000000" w:themeColor="text1"/>
          <w:sz w:val="16"/>
          <w:szCs w:val="16"/>
          <w:lang w:eastAsia="zh-CN"/>
        </w:rPr>
        <w:t>至外系修习</w:t>
      </w:r>
      <w:r w:rsidRPr="00C549DC">
        <w:rPr>
          <w:rFonts w:ascii="Trebuchet MS" w:eastAsia="SimSun" w:hAnsi="Trebuchet MS" w:cs="新細明體"/>
          <w:color w:val="000000" w:themeColor="text1"/>
          <w:sz w:val="16"/>
          <w:szCs w:val="16"/>
          <w:lang w:eastAsia="zh-CN"/>
        </w:rPr>
        <w:t>9</w:t>
      </w:r>
      <w:r w:rsidRPr="00C549DC">
        <w:rPr>
          <w:rFonts w:ascii="Trebuchet MS" w:eastAsia="SimSun" w:hAnsi="Trebuchet MS" w:cs="新細明體" w:hint="eastAsia"/>
          <w:color w:val="000000" w:themeColor="text1"/>
          <w:sz w:val="16"/>
          <w:szCs w:val="16"/>
          <w:lang w:eastAsia="zh-CN"/>
        </w:rPr>
        <w:t>学分为毕业规定学分，至多承认外系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12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学分，不含大三、大四体育。）；必选学分列入选修学分，可抵选修学分。</w:t>
      </w:r>
    </w:p>
    <w:p w:rsidR="00A70F0C" w:rsidRPr="00464BD8" w:rsidRDefault="00C549DC" w:rsidP="003D34BB">
      <w:pPr>
        <w:spacing w:line="180" w:lineRule="exact"/>
        <w:rPr>
          <w:rFonts w:hAnsi="細明體"/>
          <w:color w:val="000000" w:themeColor="text1"/>
          <w:sz w:val="16"/>
          <w:szCs w:val="16"/>
          <w:lang w:eastAsia="zh-CN"/>
        </w:rPr>
      </w:pP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 xml:space="preserve"> </w:t>
      </w:r>
      <w:r w:rsidRPr="00C549DC">
        <w:rPr>
          <w:rFonts w:eastAsia="SimSun" w:hAnsi="細明體"/>
          <w:color w:val="000000" w:themeColor="text1"/>
          <w:sz w:val="20"/>
          <w:lang w:eastAsia="zh-CN"/>
        </w:rPr>
        <w:t>*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表示为</w:t>
      </w:r>
      <w:r w:rsidRPr="00C549DC">
        <w:rPr>
          <w:rFonts w:ascii="新細明體" w:eastAsia="SimSun" w:hAnsi="新細明體" w:hint="eastAsia"/>
          <w:sz w:val="16"/>
          <w:szCs w:val="16"/>
          <w:lang w:eastAsia="zh-CN"/>
        </w:rPr>
        <w:t>学院核心课程。</w:t>
      </w:r>
    </w:p>
    <w:p w:rsidR="00236316" w:rsidRPr="00572A9D" w:rsidRDefault="00C549DC" w:rsidP="00464BD8">
      <w:pPr>
        <w:widowControl/>
        <w:autoSpaceDE w:val="0"/>
        <w:autoSpaceDN w:val="0"/>
        <w:spacing w:line="180" w:lineRule="exact"/>
        <w:textAlignment w:val="bottom"/>
        <w:rPr>
          <w:rFonts w:hAnsi="細明體"/>
          <w:color w:val="000000" w:themeColor="text1"/>
          <w:sz w:val="16"/>
          <w:szCs w:val="16"/>
          <w:lang w:eastAsia="zh-CN"/>
        </w:rPr>
      </w:pP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※须依据「中华大学学生基本能力指标实施办法」、「中华大学管理学院学生基本能力指标实施办法」、「中华大学国际企业学系学生基本能力指标实施办法」，完成修业规定，始符合毕业资格。</w:t>
      </w:r>
    </w:p>
    <w:p w:rsidR="00236316" w:rsidRPr="00572A9D" w:rsidRDefault="00C549DC" w:rsidP="00464BD8">
      <w:pPr>
        <w:widowControl/>
        <w:autoSpaceDE w:val="0"/>
        <w:autoSpaceDN w:val="0"/>
        <w:spacing w:line="180" w:lineRule="exact"/>
        <w:textAlignment w:val="bottom"/>
        <w:rPr>
          <w:rFonts w:hAnsi="細明體"/>
          <w:color w:val="000000" w:themeColor="text1"/>
          <w:sz w:val="16"/>
          <w:szCs w:val="16"/>
        </w:rPr>
      </w:pP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※须依据「中华大学学生英文能力毕业资格检定实施办法」、「学生信息应用能</w:t>
      </w:r>
      <w:r w:rsidRPr="00572A9D">
        <w:rPr>
          <w:rFonts w:hAnsi="細明體" w:hint="eastAsia"/>
          <w:color w:val="000000" w:themeColor="text1"/>
          <w:sz w:val="16"/>
          <w:szCs w:val="16"/>
          <w:lang w:eastAsia="zh-CN"/>
        </w:rPr>
        <w:t>力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检定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 xml:space="preserve">TQC 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证照奖</w:t>
      </w:r>
      <w:r w:rsidRPr="00572A9D">
        <w:rPr>
          <w:rFonts w:hAnsi="細明體" w:hint="eastAsia"/>
          <w:color w:val="000000" w:themeColor="text1"/>
          <w:sz w:val="16"/>
          <w:szCs w:val="16"/>
          <w:lang w:eastAsia="zh-CN"/>
        </w:rPr>
        <w:t>勵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作业要点」，完成修业规定，始符合毕业资格。</w:t>
      </w:r>
    </w:p>
    <w:p w:rsidR="00674E1E" w:rsidRPr="00572A9D" w:rsidRDefault="00C549DC" w:rsidP="00464BD8">
      <w:pPr>
        <w:widowControl/>
        <w:autoSpaceDE w:val="0"/>
        <w:autoSpaceDN w:val="0"/>
        <w:spacing w:line="180" w:lineRule="exact"/>
        <w:textAlignment w:val="bottom"/>
        <w:rPr>
          <w:color w:val="000000" w:themeColor="text1"/>
          <w:sz w:val="16"/>
          <w:szCs w:val="16"/>
        </w:rPr>
      </w:pP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※须依据「中华大学志工校园文化推动实施要点」在校期间至少须完成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18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小时的志工服务活动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(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含爱系服务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2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小时</w:t>
      </w:r>
      <w:r w:rsidRPr="00C549DC">
        <w:rPr>
          <w:rFonts w:eastAsia="SimSun" w:hAnsi="細明體"/>
          <w:color w:val="000000" w:themeColor="text1"/>
          <w:sz w:val="16"/>
          <w:szCs w:val="16"/>
          <w:lang w:eastAsia="zh-CN"/>
        </w:rPr>
        <w:t>)</w:t>
      </w:r>
      <w:r w:rsidRPr="00C549DC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，始符合毕业资格。</w:t>
      </w:r>
    </w:p>
    <w:sectPr w:rsidR="00674E1E" w:rsidRPr="00572A9D" w:rsidSect="00116968">
      <w:pgSz w:w="16840" w:h="11907" w:orient="landscape" w:code="9"/>
      <w:pgMar w:top="238" w:right="510" w:bottom="244" w:left="51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79" w:rsidRDefault="00841679" w:rsidP="00236316">
      <w:pPr>
        <w:spacing w:line="240" w:lineRule="auto"/>
      </w:pPr>
      <w:r>
        <w:separator/>
      </w:r>
    </w:p>
  </w:endnote>
  <w:endnote w:type="continuationSeparator" w:id="0">
    <w:p w:rsidR="00841679" w:rsidRDefault="00841679" w:rsidP="002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79" w:rsidRDefault="00841679" w:rsidP="00236316">
      <w:pPr>
        <w:spacing w:line="240" w:lineRule="auto"/>
      </w:pPr>
      <w:r>
        <w:separator/>
      </w:r>
    </w:p>
  </w:footnote>
  <w:footnote w:type="continuationSeparator" w:id="0">
    <w:p w:rsidR="00841679" w:rsidRDefault="00841679" w:rsidP="00236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0"/>
    <w:rsid w:val="00000207"/>
    <w:rsid w:val="00006CDA"/>
    <w:rsid w:val="00023F75"/>
    <w:rsid w:val="000240C5"/>
    <w:rsid w:val="00026A7F"/>
    <w:rsid w:val="000314FB"/>
    <w:rsid w:val="000341BC"/>
    <w:rsid w:val="000353D4"/>
    <w:rsid w:val="00035A74"/>
    <w:rsid w:val="00042AED"/>
    <w:rsid w:val="00047730"/>
    <w:rsid w:val="000602AB"/>
    <w:rsid w:val="00072F67"/>
    <w:rsid w:val="00087290"/>
    <w:rsid w:val="000A1307"/>
    <w:rsid w:val="000A4DE5"/>
    <w:rsid w:val="000A7E73"/>
    <w:rsid w:val="000D7FA3"/>
    <w:rsid w:val="000E7C28"/>
    <w:rsid w:val="000F06DB"/>
    <w:rsid w:val="000F7614"/>
    <w:rsid w:val="00103262"/>
    <w:rsid w:val="00107272"/>
    <w:rsid w:val="00115C38"/>
    <w:rsid w:val="00116968"/>
    <w:rsid w:val="001230ED"/>
    <w:rsid w:val="0012367E"/>
    <w:rsid w:val="00123A6A"/>
    <w:rsid w:val="00127AB8"/>
    <w:rsid w:val="00133F49"/>
    <w:rsid w:val="00134840"/>
    <w:rsid w:val="00140E3C"/>
    <w:rsid w:val="00142794"/>
    <w:rsid w:val="00174F39"/>
    <w:rsid w:val="00184532"/>
    <w:rsid w:val="0018799D"/>
    <w:rsid w:val="001B3F7F"/>
    <w:rsid w:val="001C0789"/>
    <w:rsid w:val="001D08E8"/>
    <w:rsid w:val="001E0E91"/>
    <w:rsid w:val="001E4E69"/>
    <w:rsid w:val="001F4BA6"/>
    <w:rsid w:val="001F5C82"/>
    <w:rsid w:val="00206436"/>
    <w:rsid w:val="00235A20"/>
    <w:rsid w:val="00236316"/>
    <w:rsid w:val="00244905"/>
    <w:rsid w:val="00246906"/>
    <w:rsid w:val="002574E2"/>
    <w:rsid w:val="00262705"/>
    <w:rsid w:val="002708B1"/>
    <w:rsid w:val="002735ED"/>
    <w:rsid w:val="002755F1"/>
    <w:rsid w:val="002962DB"/>
    <w:rsid w:val="002B6EDE"/>
    <w:rsid w:val="002D38B6"/>
    <w:rsid w:val="002F17B2"/>
    <w:rsid w:val="003063E3"/>
    <w:rsid w:val="003105A3"/>
    <w:rsid w:val="00321E9F"/>
    <w:rsid w:val="003270A5"/>
    <w:rsid w:val="00346E62"/>
    <w:rsid w:val="003574FD"/>
    <w:rsid w:val="00361D0A"/>
    <w:rsid w:val="00374112"/>
    <w:rsid w:val="003861A4"/>
    <w:rsid w:val="003934E0"/>
    <w:rsid w:val="003A11FE"/>
    <w:rsid w:val="003A2383"/>
    <w:rsid w:val="003A3641"/>
    <w:rsid w:val="003A750A"/>
    <w:rsid w:val="003A7738"/>
    <w:rsid w:val="003B406D"/>
    <w:rsid w:val="003B4482"/>
    <w:rsid w:val="003B4E70"/>
    <w:rsid w:val="003B68DC"/>
    <w:rsid w:val="003D34BB"/>
    <w:rsid w:val="003D407E"/>
    <w:rsid w:val="003E2069"/>
    <w:rsid w:val="003E74F5"/>
    <w:rsid w:val="0041727E"/>
    <w:rsid w:val="00430A3C"/>
    <w:rsid w:val="00440466"/>
    <w:rsid w:val="00446354"/>
    <w:rsid w:val="00460C96"/>
    <w:rsid w:val="00463028"/>
    <w:rsid w:val="00464BD8"/>
    <w:rsid w:val="004877F2"/>
    <w:rsid w:val="004B36FA"/>
    <w:rsid w:val="004C13F1"/>
    <w:rsid w:val="004D231C"/>
    <w:rsid w:val="004D7489"/>
    <w:rsid w:val="004F33CB"/>
    <w:rsid w:val="004F52DF"/>
    <w:rsid w:val="00500362"/>
    <w:rsid w:val="00500A86"/>
    <w:rsid w:val="0051050F"/>
    <w:rsid w:val="00546E91"/>
    <w:rsid w:val="00547744"/>
    <w:rsid w:val="00572A9D"/>
    <w:rsid w:val="005875A9"/>
    <w:rsid w:val="005A3252"/>
    <w:rsid w:val="005B1B28"/>
    <w:rsid w:val="005C1DAC"/>
    <w:rsid w:val="005D4AD6"/>
    <w:rsid w:val="005D7F33"/>
    <w:rsid w:val="005F4588"/>
    <w:rsid w:val="00616562"/>
    <w:rsid w:val="00622590"/>
    <w:rsid w:val="006349C5"/>
    <w:rsid w:val="006428B6"/>
    <w:rsid w:val="00672460"/>
    <w:rsid w:val="00674E1E"/>
    <w:rsid w:val="00677DA3"/>
    <w:rsid w:val="006841BB"/>
    <w:rsid w:val="00690ED0"/>
    <w:rsid w:val="006B7AD4"/>
    <w:rsid w:val="006C3044"/>
    <w:rsid w:val="006C5C3A"/>
    <w:rsid w:val="006D3F61"/>
    <w:rsid w:val="006D46DA"/>
    <w:rsid w:val="0070328A"/>
    <w:rsid w:val="00705A8A"/>
    <w:rsid w:val="0076477A"/>
    <w:rsid w:val="00772E01"/>
    <w:rsid w:val="00773D25"/>
    <w:rsid w:val="00783F97"/>
    <w:rsid w:val="00786BB3"/>
    <w:rsid w:val="0079004F"/>
    <w:rsid w:val="007963DB"/>
    <w:rsid w:val="007B2342"/>
    <w:rsid w:val="007D07F8"/>
    <w:rsid w:val="007E56F5"/>
    <w:rsid w:val="007F3058"/>
    <w:rsid w:val="00806B1E"/>
    <w:rsid w:val="00833822"/>
    <w:rsid w:val="00841679"/>
    <w:rsid w:val="00850EB8"/>
    <w:rsid w:val="00853BAB"/>
    <w:rsid w:val="0085657B"/>
    <w:rsid w:val="0085717B"/>
    <w:rsid w:val="008832A6"/>
    <w:rsid w:val="00897616"/>
    <w:rsid w:val="008B7929"/>
    <w:rsid w:val="008C4C13"/>
    <w:rsid w:val="008C783E"/>
    <w:rsid w:val="008D11E7"/>
    <w:rsid w:val="008D3134"/>
    <w:rsid w:val="008D546D"/>
    <w:rsid w:val="008D5C98"/>
    <w:rsid w:val="008F5C24"/>
    <w:rsid w:val="00904F18"/>
    <w:rsid w:val="009201BB"/>
    <w:rsid w:val="0092670F"/>
    <w:rsid w:val="00932831"/>
    <w:rsid w:val="00933FCA"/>
    <w:rsid w:val="00944C4A"/>
    <w:rsid w:val="00950B7F"/>
    <w:rsid w:val="00954218"/>
    <w:rsid w:val="00954974"/>
    <w:rsid w:val="00956BAC"/>
    <w:rsid w:val="00967693"/>
    <w:rsid w:val="00970D04"/>
    <w:rsid w:val="009A305F"/>
    <w:rsid w:val="009D6E57"/>
    <w:rsid w:val="009F31D6"/>
    <w:rsid w:val="009F49AA"/>
    <w:rsid w:val="009F5135"/>
    <w:rsid w:val="009F5255"/>
    <w:rsid w:val="009F6687"/>
    <w:rsid w:val="00A149B1"/>
    <w:rsid w:val="00A15182"/>
    <w:rsid w:val="00A20F05"/>
    <w:rsid w:val="00A3327B"/>
    <w:rsid w:val="00A336FC"/>
    <w:rsid w:val="00A33C21"/>
    <w:rsid w:val="00A36FD3"/>
    <w:rsid w:val="00A53397"/>
    <w:rsid w:val="00A53566"/>
    <w:rsid w:val="00A55628"/>
    <w:rsid w:val="00A611A8"/>
    <w:rsid w:val="00A62C59"/>
    <w:rsid w:val="00A64092"/>
    <w:rsid w:val="00A70F0C"/>
    <w:rsid w:val="00A73272"/>
    <w:rsid w:val="00A76978"/>
    <w:rsid w:val="00A90C67"/>
    <w:rsid w:val="00A90CD7"/>
    <w:rsid w:val="00AA05F1"/>
    <w:rsid w:val="00AA0741"/>
    <w:rsid w:val="00AA0BA0"/>
    <w:rsid w:val="00AA5784"/>
    <w:rsid w:val="00AB7904"/>
    <w:rsid w:val="00AC1DC4"/>
    <w:rsid w:val="00AD5C6C"/>
    <w:rsid w:val="00AE183C"/>
    <w:rsid w:val="00AE28E6"/>
    <w:rsid w:val="00AF16C0"/>
    <w:rsid w:val="00AF618D"/>
    <w:rsid w:val="00B01C18"/>
    <w:rsid w:val="00B06210"/>
    <w:rsid w:val="00B07662"/>
    <w:rsid w:val="00B12B61"/>
    <w:rsid w:val="00B26FAD"/>
    <w:rsid w:val="00B35A98"/>
    <w:rsid w:val="00B36506"/>
    <w:rsid w:val="00B66748"/>
    <w:rsid w:val="00BD4C45"/>
    <w:rsid w:val="00BE03DB"/>
    <w:rsid w:val="00BF16AF"/>
    <w:rsid w:val="00BF2EA5"/>
    <w:rsid w:val="00C25929"/>
    <w:rsid w:val="00C35574"/>
    <w:rsid w:val="00C549DC"/>
    <w:rsid w:val="00C569CD"/>
    <w:rsid w:val="00C6382D"/>
    <w:rsid w:val="00C6467D"/>
    <w:rsid w:val="00C71896"/>
    <w:rsid w:val="00C80CC8"/>
    <w:rsid w:val="00C83055"/>
    <w:rsid w:val="00C8417C"/>
    <w:rsid w:val="00C91E15"/>
    <w:rsid w:val="00CB1B31"/>
    <w:rsid w:val="00CB6256"/>
    <w:rsid w:val="00CD2D83"/>
    <w:rsid w:val="00CE7A7B"/>
    <w:rsid w:val="00CE7EF7"/>
    <w:rsid w:val="00D004A2"/>
    <w:rsid w:val="00D3040F"/>
    <w:rsid w:val="00D72059"/>
    <w:rsid w:val="00D731D2"/>
    <w:rsid w:val="00D85C2E"/>
    <w:rsid w:val="00DA6B25"/>
    <w:rsid w:val="00DB1C72"/>
    <w:rsid w:val="00DB6571"/>
    <w:rsid w:val="00DC4D1F"/>
    <w:rsid w:val="00DF2C84"/>
    <w:rsid w:val="00DF7053"/>
    <w:rsid w:val="00E01E18"/>
    <w:rsid w:val="00E12423"/>
    <w:rsid w:val="00E46C45"/>
    <w:rsid w:val="00E50A28"/>
    <w:rsid w:val="00E624C0"/>
    <w:rsid w:val="00E6253A"/>
    <w:rsid w:val="00E62E76"/>
    <w:rsid w:val="00E675A0"/>
    <w:rsid w:val="00E91F86"/>
    <w:rsid w:val="00E9379C"/>
    <w:rsid w:val="00E975F3"/>
    <w:rsid w:val="00EA082A"/>
    <w:rsid w:val="00EA3796"/>
    <w:rsid w:val="00EA46A2"/>
    <w:rsid w:val="00ED0CD2"/>
    <w:rsid w:val="00EE7177"/>
    <w:rsid w:val="00EF2B9C"/>
    <w:rsid w:val="00EF46C4"/>
    <w:rsid w:val="00EF759B"/>
    <w:rsid w:val="00EF7A44"/>
    <w:rsid w:val="00F047E5"/>
    <w:rsid w:val="00F1402E"/>
    <w:rsid w:val="00F17477"/>
    <w:rsid w:val="00F230F7"/>
    <w:rsid w:val="00F36B7A"/>
    <w:rsid w:val="00F4518D"/>
    <w:rsid w:val="00F60D05"/>
    <w:rsid w:val="00F75242"/>
    <w:rsid w:val="00F82783"/>
    <w:rsid w:val="00F90812"/>
    <w:rsid w:val="00F95A5D"/>
    <w:rsid w:val="00FA19EC"/>
    <w:rsid w:val="00FA1AE5"/>
    <w:rsid w:val="00FD50A9"/>
    <w:rsid w:val="00FD62EE"/>
    <w:rsid w:val="00FF36ED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67C8E"/>
  <w15:docId w15:val="{AF7E3153-0FDB-423A-881E-24E8E95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2363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236316"/>
    <w:rPr>
      <w:sz w:val="20"/>
      <w:szCs w:val="20"/>
    </w:rPr>
  </w:style>
  <w:style w:type="table" w:styleId="a7">
    <w:name w:val="Table Grid"/>
    <w:basedOn w:val="a1"/>
    <w:uiPriority w:val="59"/>
    <w:rsid w:val="0062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23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6F9A2-75C6-49CE-96E5-A22C1552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Chung Hua University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2016-08-19T06:05:00Z</cp:lastPrinted>
  <dcterms:created xsi:type="dcterms:W3CDTF">2017-11-30T07:04:00Z</dcterms:created>
  <dcterms:modified xsi:type="dcterms:W3CDTF">2017-11-30T07:04:00Z</dcterms:modified>
</cp:coreProperties>
</file>